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86" w:rsidRDefault="003C3386" w:rsidP="003C3386">
      <w:pPr>
        <w:ind w:left="102"/>
        <w:rPr>
          <w:sz w:val="20"/>
        </w:rPr>
      </w:pPr>
      <w:r>
        <w:rPr>
          <w:noProof/>
          <w:spacing w:val="-49"/>
          <w:sz w:val="20"/>
          <w:lang w:val="en-GB" w:eastAsia="en-GB"/>
        </w:rPr>
        <mc:AlternateContent>
          <mc:Choice Requires="wps">
            <w:drawing>
              <wp:inline distT="0" distB="0" distL="0" distR="0" wp14:anchorId="1B5A3878" wp14:editId="6F351A40">
                <wp:extent cx="5876290" cy="267335"/>
                <wp:effectExtent l="9525" t="9525" r="10160" b="8890"/>
                <wp:docPr id="802"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67335"/>
                        </a:xfrm>
                        <a:prstGeom prst="rect">
                          <a:avLst/>
                        </a:prstGeom>
                        <a:solidFill>
                          <a:srgbClr val="D9D9D9"/>
                        </a:solidFill>
                        <a:ln w="6097">
                          <a:solidFill>
                            <a:srgbClr val="000000"/>
                          </a:solidFill>
                          <a:prstDash val="solid"/>
                          <a:miter lim="800000"/>
                          <a:headEnd/>
                          <a:tailEnd/>
                        </a:ln>
                      </wps:spPr>
                      <wps:txbx>
                        <w:txbxContent>
                          <w:p w:rsidR="003C3386" w:rsidRPr="00341389" w:rsidRDefault="00571C64" w:rsidP="003C3386">
                            <w:pPr>
                              <w:pStyle w:val="Heading2"/>
                            </w:pPr>
                            <w:bookmarkStart w:id="0" w:name="_Toc495517201"/>
                            <w:bookmarkStart w:id="1" w:name="_Toc495517225"/>
                            <w:r>
                              <w:t xml:space="preserve">Appendix 2 - </w:t>
                            </w:r>
                            <w:r w:rsidR="003C3386" w:rsidRPr="00341389">
                              <w:t>Executive Summary</w:t>
                            </w:r>
                            <w:bookmarkEnd w:id="0"/>
                            <w:bookmarkEnd w:id="1"/>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5A3878" id="_x0000_t202" coordsize="21600,21600" o:spt="202" path="m,l,21600r21600,l21600,xe">
                <v:stroke joinstyle="miter"/>
                <v:path gradientshapeok="t" o:connecttype="rect"/>
              </v:shapetype>
              <v:shape id="Text Box 744" o:spid="_x0000_s1026" type="#_x0000_t202" style="width:462.7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" fillcolor="#d9d9d9" strokeweight=".16936mm">
                <v:textbox inset="0,0,0,0">
                  <w:txbxContent>
                    <w:p w:rsidR="003C3386" w:rsidRPr="00341389" w:rsidRDefault="00571C64" w:rsidP="003C3386">
                      <w:pPr>
                        <w:pStyle w:val="Heading2"/>
                      </w:pPr>
                      <w:bookmarkStart w:id="3" w:name="_Toc495517201"/>
                      <w:bookmarkStart w:id="4" w:name="_Toc495517225"/>
                      <w:r>
                        <w:t xml:space="preserve">Appendix 2 - </w:t>
                      </w:r>
                      <w:bookmarkStart w:id="5" w:name="_GoBack"/>
                      <w:bookmarkEnd w:id="5"/>
                      <w:r w:rsidR="003C3386" w:rsidRPr="00341389">
                        <w:t>Executive Summary</w:t>
                      </w:r>
                      <w:bookmarkEnd w:id="3"/>
                      <w:bookmarkEnd w:id="4"/>
                    </w:p>
                  </w:txbxContent>
                </v:textbox>
                <w10:anchorlock/>
              </v:shape>
            </w:pict>
          </mc:Fallback>
        </mc:AlternateContent>
      </w:r>
    </w:p>
    <w:p w:rsidR="003C3386" w:rsidRDefault="003C3386" w:rsidP="00CA6FB0">
      <w:pPr>
        <w:pStyle w:val="BodyText"/>
        <w:spacing w:line="276" w:lineRule="auto"/>
        <w:ind w:left="292" w:right="527"/>
        <w:jc w:val="both"/>
      </w:pPr>
      <w:bookmarkStart w:id="2" w:name="_GoBack"/>
      <w:bookmarkEnd w:id="2"/>
      <w:r>
        <w:t>This document sets out the ODS Business Plan for the next four years. ODS has been established to return value to our Shareholder in two ways:</w:t>
      </w:r>
    </w:p>
    <w:p w:rsidR="003C3386" w:rsidRDefault="003C3386" w:rsidP="003C3386">
      <w:pPr>
        <w:pStyle w:val="BodyText"/>
        <w:spacing w:line="276" w:lineRule="auto"/>
        <w:ind w:left="220" w:right="527"/>
        <w:jc w:val="both"/>
      </w:pPr>
    </w:p>
    <w:p w:rsidR="003C3386" w:rsidRDefault="003C3386" w:rsidP="003C3386">
      <w:pPr>
        <w:pStyle w:val="BodyText"/>
        <w:numPr>
          <w:ilvl w:val="0"/>
          <w:numId w:val="1"/>
        </w:numPr>
        <w:spacing w:line="276" w:lineRule="auto"/>
        <w:ind w:right="527"/>
        <w:jc w:val="both"/>
      </w:pPr>
      <w:r>
        <w:t>through delivering efficient, value for money public services;</w:t>
      </w:r>
    </w:p>
    <w:p w:rsidR="003C3386" w:rsidRDefault="003C3386" w:rsidP="003C3386">
      <w:pPr>
        <w:pStyle w:val="BodyText"/>
        <w:numPr>
          <w:ilvl w:val="0"/>
          <w:numId w:val="1"/>
        </w:numPr>
        <w:spacing w:line="276" w:lineRule="auto"/>
        <w:ind w:right="527"/>
        <w:jc w:val="both"/>
      </w:pPr>
      <w:r>
        <w:t>Generate long term sustainable growth in income through external trading.</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ODS is comprised of two wholly owned Local Authority Trading Companies delivering commercial services for the Council and externally such as building services, highways &amp; engineering, commercial waste, Large Goods Vehicle and MOT testing, vehicle repairs, landscaping, grounds maintenance and pest control.</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This document sets out the plans for the two companies forming ODS. These are intrinsically linked as it is only through the provision of efficient value for money services that ODS is an established brand and successfully trading, building on its previous incarnation of service delivery from within the umbrella of the Council.</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External growth is a key theme and we have identified four areas which show the most potential from our current core business. An analysis of the Oxfordshire market, our position in it, our services and our past performance in these service lines give confidence in the potential for further success - building on our strategy of organic growth and leveraging existing relationships - but also through developing new business.</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Success will be measured across a balanced scorecard of financial performance &amp; business growth, operational performance and culture.</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From a financial perspective under existing arrangements ODS expects to return profit before tax in the order of £1 million per annum, giving a return on spend of approximately 2% or £1.7 million to £1.5 million before tax as indicated below, in addition to numerous other benefits outlined in this Plan:</w:t>
      </w:r>
    </w:p>
    <w:p w:rsidR="003C3386" w:rsidRDefault="003C3386" w:rsidP="003C3386">
      <w:pPr>
        <w:pStyle w:val="BodyText"/>
        <w:spacing w:line="276" w:lineRule="auto"/>
        <w:ind w:left="220" w:right="527"/>
        <w:jc w:val="both"/>
      </w:pPr>
    </w:p>
    <w:tbl>
      <w:tblPr>
        <w:tblStyle w:val="TableGrid"/>
        <w:tblW w:w="0" w:type="auto"/>
        <w:tblLook w:val="04A0" w:firstRow="1" w:lastRow="0" w:firstColumn="1" w:lastColumn="0" w:noHBand="0" w:noVBand="1"/>
      </w:tblPr>
      <w:tblGrid>
        <w:gridCol w:w="2235"/>
        <w:gridCol w:w="1701"/>
        <w:gridCol w:w="1842"/>
        <w:gridCol w:w="1843"/>
        <w:gridCol w:w="1621"/>
      </w:tblGrid>
      <w:tr w:rsidR="003C3386" w:rsidRPr="008309E5" w:rsidTr="00E65103">
        <w:tc>
          <w:tcPr>
            <w:tcW w:w="9242" w:type="dxa"/>
            <w:gridSpan w:val="5"/>
          </w:tcPr>
          <w:p w:rsidR="003C3386" w:rsidRPr="008309E5" w:rsidRDefault="003C3386" w:rsidP="00E65103">
            <w:pPr>
              <w:rPr>
                <w:b/>
                <w:color w:val="000000"/>
              </w:rPr>
            </w:pPr>
            <w:r>
              <w:rPr>
                <w:b/>
                <w:color w:val="000000"/>
              </w:rPr>
              <w:t xml:space="preserve">Profit </w:t>
            </w:r>
          </w:p>
        </w:tc>
      </w:tr>
      <w:tr w:rsidR="003C3386" w:rsidRPr="008309E5" w:rsidTr="00E65103">
        <w:tc>
          <w:tcPr>
            <w:tcW w:w="2235" w:type="dxa"/>
          </w:tcPr>
          <w:p w:rsidR="003C3386" w:rsidRDefault="003C3386" w:rsidP="00E65103">
            <w:pPr>
              <w:rPr>
                <w:color w:val="000000"/>
              </w:rPr>
            </w:pPr>
          </w:p>
        </w:tc>
        <w:tc>
          <w:tcPr>
            <w:tcW w:w="1701" w:type="dxa"/>
            <w:shd w:val="clear" w:color="auto" w:fill="D9D9D9" w:themeFill="background1" w:themeFillShade="D9"/>
          </w:tcPr>
          <w:p w:rsidR="003C3386" w:rsidRPr="008309E5" w:rsidRDefault="003C3386" w:rsidP="00E65103">
            <w:pPr>
              <w:jc w:val="center"/>
              <w:rPr>
                <w:b/>
                <w:color w:val="000000"/>
              </w:rPr>
            </w:pPr>
            <w:r w:rsidRPr="008309E5">
              <w:rPr>
                <w:b/>
                <w:color w:val="000000"/>
              </w:rPr>
              <w:t>£000s</w:t>
            </w:r>
          </w:p>
        </w:tc>
        <w:tc>
          <w:tcPr>
            <w:tcW w:w="1842" w:type="dxa"/>
            <w:shd w:val="clear" w:color="auto" w:fill="D9D9D9" w:themeFill="background1" w:themeFillShade="D9"/>
          </w:tcPr>
          <w:p w:rsidR="003C3386" w:rsidRPr="008309E5" w:rsidRDefault="003C3386" w:rsidP="00E65103">
            <w:pPr>
              <w:jc w:val="center"/>
              <w:rPr>
                <w:b/>
              </w:rPr>
            </w:pPr>
            <w:r w:rsidRPr="008309E5">
              <w:rPr>
                <w:b/>
                <w:color w:val="000000"/>
              </w:rPr>
              <w:t>£000s</w:t>
            </w:r>
          </w:p>
        </w:tc>
        <w:tc>
          <w:tcPr>
            <w:tcW w:w="1843" w:type="dxa"/>
            <w:shd w:val="clear" w:color="auto" w:fill="D9D9D9" w:themeFill="background1" w:themeFillShade="D9"/>
          </w:tcPr>
          <w:p w:rsidR="003C3386" w:rsidRPr="008309E5" w:rsidRDefault="003C3386" w:rsidP="00E65103">
            <w:pPr>
              <w:jc w:val="center"/>
              <w:rPr>
                <w:b/>
              </w:rPr>
            </w:pPr>
            <w:r w:rsidRPr="008309E5">
              <w:rPr>
                <w:b/>
                <w:color w:val="000000"/>
              </w:rPr>
              <w:t>£000s</w:t>
            </w:r>
          </w:p>
        </w:tc>
        <w:tc>
          <w:tcPr>
            <w:tcW w:w="1621" w:type="dxa"/>
            <w:shd w:val="clear" w:color="auto" w:fill="D9D9D9" w:themeFill="background1" w:themeFillShade="D9"/>
          </w:tcPr>
          <w:p w:rsidR="003C3386" w:rsidRPr="008309E5" w:rsidRDefault="003C3386" w:rsidP="00E65103">
            <w:pPr>
              <w:jc w:val="center"/>
              <w:rPr>
                <w:b/>
              </w:rPr>
            </w:pPr>
            <w:r w:rsidRPr="008309E5">
              <w:rPr>
                <w:b/>
                <w:color w:val="000000"/>
              </w:rPr>
              <w:t>£000s</w:t>
            </w:r>
          </w:p>
        </w:tc>
      </w:tr>
      <w:tr w:rsidR="003C3386" w:rsidRPr="008309E5" w:rsidTr="00E65103">
        <w:tc>
          <w:tcPr>
            <w:tcW w:w="2235" w:type="dxa"/>
          </w:tcPr>
          <w:p w:rsidR="003C3386" w:rsidRDefault="003C3386" w:rsidP="00E65103">
            <w:pPr>
              <w:rPr>
                <w:color w:val="000000"/>
              </w:rPr>
            </w:pPr>
          </w:p>
        </w:tc>
        <w:tc>
          <w:tcPr>
            <w:tcW w:w="1701" w:type="dxa"/>
            <w:shd w:val="clear" w:color="auto" w:fill="D9D9D9" w:themeFill="background1" w:themeFillShade="D9"/>
          </w:tcPr>
          <w:p w:rsidR="003C3386" w:rsidRPr="008309E5" w:rsidRDefault="003C3386" w:rsidP="00E65103">
            <w:pPr>
              <w:jc w:val="center"/>
              <w:rPr>
                <w:b/>
                <w:color w:val="000000"/>
              </w:rPr>
            </w:pPr>
            <w:r w:rsidRPr="008309E5">
              <w:rPr>
                <w:b/>
                <w:color w:val="000000"/>
              </w:rPr>
              <w:t>2018-19</w:t>
            </w:r>
          </w:p>
        </w:tc>
        <w:tc>
          <w:tcPr>
            <w:tcW w:w="1842" w:type="dxa"/>
            <w:shd w:val="clear" w:color="auto" w:fill="D9D9D9" w:themeFill="background1" w:themeFillShade="D9"/>
          </w:tcPr>
          <w:p w:rsidR="003C3386" w:rsidRPr="008309E5" w:rsidRDefault="003C3386" w:rsidP="00E65103">
            <w:pPr>
              <w:jc w:val="center"/>
              <w:rPr>
                <w:b/>
                <w:color w:val="000000"/>
              </w:rPr>
            </w:pPr>
            <w:r w:rsidRPr="008309E5">
              <w:rPr>
                <w:b/>
                <w:color w:val="000000"/>
              </w:rPr>
              <w:t>2019-20</w:t>
            </w:r>
          </w:p>
        </w:tc>
        <w:tc>
          <w:tcPr>
            <w:tcW w:w="1843" w:type="dxa"/>
            <w:shd w:val="clear" w:color="auto" w:fill="D9D9D9" w:themeFill="background1" w:themeFillShade="D9"/>
          </w:tcPr>
          <w:p w:rsidR="003C3386" w:rsidRPr="008309E5" w:rsidRDefault="003C3386" w:rsidP="00E65103">
            <w:pPr>
              <w:jc w:val="center"/>
              <w:rPr>
                <w:b/>
                <w:color w:val="000000"/>
              </w:rPr>
            </w:pPr>
            <w:r w:rsidRPr="008309E5">
              <w:rPr>
                <w:b/>
                <w:color w:val="000000"/>
              </w:rPr>
              <w:t>2020-21</w:t>
            </w:r>
          </w:p>
        </w:tc>
        <w:tc>
          <w:tcPr>
            <w:tcW w:w="1621" w:type="dxa"/>
            <w:shd w:val="clear" w:color="auto" w:fill="D9D9D9" w:themeFill="background1" w:themeFillShade="D9"/>
          </w:tcPr>
          <w:p w:rsidR="003C3386" w:rsidRPr="008309E5" w:rsidRDefault="003C3386" w:rsidP="00E65103">
            <w:pPr>
              <w:jc w:val="center"/>
              <w:rPr>
                <w:b/>
                <w:color w:val="000000"/>
              </w:rPr>
            </w:pPr>
            <w:r w:rsidRPr="008309E5">
              <w:rPr>
                <w:b/>
                <w:color w:val="000000"/>
              </w:rPr>
              <w:t>202</w:t>
            </w:r>
            <w:r>
              <w:rPr>
                <w:b/>
                <w:color w:val="000000"/>
              </w:rPr>
              <w:t>1</w:t>
            </w:r>
            <w:r w:rsidRPr="008309E5">
              <w:rPr>
                <w:b/>
                <w:color w:val="000000"/>
              </w:rPr>
              <w:t>-2</w:t>
            </w:r>
            <w:r>
              <w:rPr>
                <w:b/>
                <w:color w:val="000000"/>
              </w:rPr>
              <w:t>2</w:t>
            </w:r>
          </w:p>
        </w:tc>
      </w:tr>
      <w:tr w:rsidR="003C3386" w:rsidTr="00E65103">
        <w:tc>
          <w:tcPr>
            <w:tcW w:w="2235" w:type="dxa"/>
          </w:tcPr>
          <w:p w:rsidR="003C3386" w:rsidRDefault="003C3386" w:rsidP="00E65103">
            <w:pPr>
              <w:rPr>
                <w:color w:val="000000"/>
              </w:rPr>
            </w:pPr>
            <w:r>
              <w:rPr>
                <w:color w:val="000000"/>
              </w:rPr>
              <w:t>Turnover</w:t>
            </w:r>
          </w:p>
        </w:tc>
        <w:tc>
          <w:tcPr>
            <w:tcW w:w="1701" w:type="dxa"/>
            <w:vAlign w:val="center"/>
          </w:tcPr>
          <w:p w:rsidR="003C3386" w:rsidRPr="00AC07BA" w:rsidRDefault="003C3386" w:rsidP="00E65103">
            <w:pPr>
              <w:jc w:val="right"/>
              <w:rPr>
                <w:color w:val="000000"/>
                <w:highlight w:val="yellow"/>
                <w:u w:val="single"/>
              </w:rPr>
            </w:pPr>
            <w:r>
              <w:rPr>
                <w:color w:val="000000"/>
                <w:sz w:val="20"/>
                <w:szCs w:val="20"/>
                <w:u w:val="single"/>
              </w:rPr>
              <w:t>54,641</w:t>
            </w:r>
          </w:p>
        </w:tc>
        <w:tc>
          <w:tcPr>
            <w:tcW w:w="1842" w:type="dxa"/>
            <w:vAlign w:val="center"/>
          </w:tcPr>
          <w:p w:rsidR="003C3386" w:rsidRPr="00AC07BA" w:rsidRDefault="003C3386" w:rsidP="00E65103">
            <w:pPr>
              <w:jc w:val="right"/>
              <w:rPr>
                <w:color w:val="000000"/>
                <w:highlight w:val="yellow"/>
                <w:u w:val="single"/>
              </w:rPr>
            </w:pPr>
            <w:r>
              <w:rPr>
                <w:color w:val="000000"/>
                <w:sz w:val="20"/>
                <w:szCs w:val="20"/>
                <w:u w:val="single"/>
              </w:rPr>
              <w:t>55,142</w:t>
            </w:r>
          </w:p>
        </w:tc>
        <w:tc>
          <w:tcPr>
            <w:tcW w:w="1843" w:type="dxa"/>
            <w:vAlign w:val="center"/>
          </w:tcPr>
          <w:p w:rsidR="003C3386" w:rsidRPr="00AC07BA" w:rsidRDefault="003C3386" w:rsidP="00E65103">
            <w:pPr>
              <w:jc w:val="right"/>
              <w:rPr>
                <w:color w:val="000000"/>
                <w:highlight w:val="yellow"/>
                <w:u w:val="single"/>
              </w:rPr>
            </w:pPr>
            <w:r>
              <w:rPr>
                <w:color w:val="000000"/>
                <w:sz w:val="20"/>
                <w:szCs w:val="20"/>
                <w:u w:val="single"/>
              </w:rPr>
              <w:t>55,440</w:t>
            </w:r>
          </w:p>
        </w:tc>
        <w:tc>
          <w:tcPr>
            <w:tcW w:w="1621" w:type="dxa"/>
            <w:vAlign w:val="center"/>
          </w:tcPr>
          <w:p w:rsidR="003C3386" w:rsidRPr="00AC07BA" w:rsidRDefault="003C3386" w:rsidP="00E65103">
            <w:pPr>
              <w:jc w:val="right"/>
              <w:rPr>
                <w:color w:val="000000"/>
                <w:highlight w:val="yellow"/>
                <w:u w:val="single"/>
              </w:rPr>
            </w:pPr>
            <w:r>
              <w:rPr>
                <w:color w:val="000000"/>
                <w:sz w:val="20"/>
                <w:szCs w:val="20"/>
                <w:u w:val="single"/>
              </w:rPr>
              <w:t>55,590</w:t>
            </w:r>
          </w:p>
        </w:tc>
      </w:tr>
      <w:tr w:rsidR="003C3386" w:rsidTr="00E65103">
        <w:tc>
          <w:tcPr>
            <w:tcW w:w="2235" w:type="dxa"/>
          </w:tcPr>
          <w:p w:rsidR="003C3386" w:rsidRDefault="003C3386" w:rsidP="00E65103">
            <w:pPr>
              <w:rPr>
                <w:color w:val="000000"/>
              </w:rPr>
            </w:pPr>
            <w:r>
              <w:rPr>
                <w:color w:val="000000"/>
              </w:rPr>
              <w:t>Teckal Company</w:t>
            </w:r>
          </w:p>
        </w:tc>
        <w:tc>
          <w:tcPr>
            <w:tcW w:w="1701" w:type="dxa"/>
          </w:tcPr>
          <w:p w:rsidR="003C3386" w:rsidRPr="000B22D4" w:rsidRDefault="003C3386" w:rsidP="00E65103">
            <w:pPr>
              <w:jc w:val="right"/>
            </w:pPr>
            <w:r>
              <w:t>425</w:t>
            </w:r>
          </w:p>
        </w:tc>
        <w:tc>
          <w:tcPr>
            <w:tcW w:w="1842" w:type="dxa"/>
          </w:tcPr>
          <w:p w:rsidR="003C3386" w:rsidRPr="000B22D4" w:rsidRDefault="003C3386" w:rsidP="00E65103">
            <w:pPr>
              <w:jc w:val="right"/>
            </w:pPr>
            <w:r>
              <w:t>543</w:t>
            </w:r>
          </w:p>
        </w:tc>
        <w:tc>
          <w:tcPr>
            <w:tcW w:w="1843" w:type="dxa"/>
          </w:tcPr>
          <w:p w:rsidR="003C3386" w:rsidRPr="000B22D4" w:rsidRDefault="003C3386" w:rsidP="00E65103">
            <w:pPr>
              <w:jc w:val="right"/>
            </w:pPr>
            <w:r>
              <w:t>628</w:t>
            </w:r>
          </w:p>
        </w:tc>
        <w:tc>
          <w:tcPr>
            <w:tcW w:w="1621" w:type="dxa"/>
          </w:tcPr>
          <w:p w:rsidR="003C3386" w:rsidRPr="000B22D4" w:rsidRDefault="003C3386" w:rsidP="00E65103">
            <w:pPr>
              <w:jc w:val="right"/>
            </w:pPr>
            <w:r>
              <w:t>768</w:t>
            </w:r>
          </w:p>
        </w:tc>
      </w:tr>
      <w:tr w:rsidR="003C3386" w:rsidTr="00E65103">
        <w:tc>
          <w:tcPr>
            <w:tcW w:w="2235" w:type="dxa"/>
          </w:tcPr>
          <w:p w:rsidR="003C3386" w:rsidRDefault="003C3386" w:rsidP="00E65103">
            <w:pPr>
              <w:rPr>
                <w:color w:val="000000"/>
              </w:rPr>
            </w:pPr>
            <w:r>
              <w:rPr>
                <w:color w:val="000000"/>
              </w:rPr>
              <w:t>Trading</w:t>
            </w:r>
          </w:p>
        </w:tc>
        <w:tc>
          <w:tcPr>
            <w:tcW w:w="1701" w:type="dxa"/>
          </w:tcPr>
          <w:p w:rsidR="003C3386" w:rsidRPr="000B22D4" w:rsidRDefault="003C3386" w:rsidP="00E65103">
            <w:pPr>
              <w:jc w:val="right"/>
            </w:pPr>
            <w:r>
              <w:t>953</w:t>
            </w:r>
          </w:p>
        </w:tc>
        <w:tc>
          <w:tcPr>
            <w:tcW w:w="1842" w:type="dxa"/>
          </w:tcPr>
          <w:p w:rsidR="003C3386" w:rsidRPr="000B22D4" w:rsidRDefault="003C3386" w:rsidP="00E65103">
            <w:pPr>
              <w:jc w:val="right"/>
            </w:pPr>
            <w:r w:rsidRPr="000B22D4">
              <w:t>1,</w:t>
            </w:r>
            <w:r>
              <w:t>004</w:t>
            </w:r>
          </w:p>
        </w:tc>
        <w:tc>
          <w:tcPr>
            <w:tcW w:w="1843" w:type="dxa"/>
          </w:tcPr>
          <w:p w:rsidR="003C3386" w:rsidRPr="000B22D4" w:rsidRDefault="003C3386" w:rsidP="00E65103">
            <w:pPr>
              <w:jc w:val="right"/>
            </w:pPr>
            <w:r w:rsidRPr="000B22D4">
              <w:t>1,</w:t>
            </w:r>
            <w:r>
              <w:t>043</w:t>
            </w:r>
          </w:p>
        </w:tc>
        <w:tc>
          <w:tcPr>
            <w:tcW w:w="1621" w:type="dxa"/>
          </w:tcPr>
          <w:p w:rsidR="003C3386" w:rsidRPr="000B22D4" w:rsidRDefault="003C3386" w:rsidP="00E65103">
            <w:pPr>
              <w:jc w:val="right"/>
            </w:pPr>
            <w:r w:rsidRPr="000B22D4">
              <w:t>1,</w:t>
            </w:r>
            <w:r>
              <w:t>083</w:t>
            </w:r>
          </w:p>
        </w:tc>
      </w:tr>
      <w:tr w:rsidR="003C3386" w:rsidRPr="009A3891" w:rsidTr="00E65103">
        <w:tc>
          <w:tcPr>
            <w:tcW w:w="2235" w:type="dxa"/>
          </w:tcPr>
          <w:p w:rsidR="003C3386" w:rsidRDefault="003C3386" w:rsidP="00E65103">
            <w:pPr>
              <w:rPr>
                <w:color w:val="000000"/>
              </w:rPr>
            </w:pPr>
            <w:r>
              <w:rPr>
                <w:color w:val="000000"/>
              </w:rPr>
              <w:t>Profit before tax</w:t>
            </w:r>
          </w:p>
        </w:tc>
        <w:tc>
          <w:tcPr>
            <w:tcW w:w="1701" w:type="dxa"/>
          </w:tcPr>
          <w:p w:rsidR="003C3386" w:rsidRPr="009A3891" w:rsidRDefault="003C3386" w:rsidP="00E65103">
            <w:pPr>
              <w:jc w:val="right"/>
              <w:rPr>
                <w:b/>
                <w:color w:val="000000"/>
              </w:rPr>
            </w:pPr>
            <w:r w:rsidRPr="009A3891">
              <w:rPr>
                <w:b/>
                <w:color w:val="000000"/>
              </w:rPr>
              <w:t>1,</w:t>
            </w:r>
            <w:r>
              <w:rPr>
                <w:b/>
                <w:color w:val="000000"/>
              </w:rPr>
              <w:t>378</w:t>
            </w:r>
          </w:p>
        </w:tc>
        <w:tc>
          <w:tcPr>
            <w:tcW w:w="1842" w:type="dxa"/>
          </w:tcPr>
          <w:p w:rsidR="003C3386" w:rsidRPr="009A3891" w:rsidRDefault="003C3386" w:rsidP="00E65103">
            <w:pPr>
              <w:jc w:val="right"/>
              <w:rPr>
                <w:b/>
                <w:color w:val="000000"/>
              </w:rPr>
            </w:pPr>
            <w:r w:rsidRPr="009A3891">
              <w:rPr>
                <w:b/>
                <w:color w:val="000000"/>
              </w:rPr>
              <w:t>1,</w:t>
            </w:r>
            <w:r>
              <w:rPr>
                <w:b/>
                <w:color w:val="000000"/>
              </w:rPr>
              <w:t>547</w:t>
            </w:r>
          </w:p>
        </w:tc>
        <w:tc>
          <w:tcPr>
            <w:tcW w:w="1843" w:type="dxa"/>
          </w:tcPr>
          <w:p w:rsidR="003C3386" w:rsidRPr="009A3891" w:rsidRDefault="003C3386" w:rsidP="00E65103">
            <w:pPr>
              <w:jc w:val="right"/>
              <w:rPr>
                <w:b/>
                <w:color w:val="000000"/>
              </w:rPr>
            </w:pPr>
            <w:r w:rsidRPr="009A3891">
              <w:rPr>
                <w:b/>
                <w:color w:val="000000"/>
              </w:rPr>
              <w:t>1,</w:t>
            </w:r>
            <w:r>
              <w:rPr>
                <w:b/>
                <w:color w:val="000000"/>
              </w:rPr>
              <w:t>671</w:t>
            </w:r>
          </w:p>
        </w:tc>
        <w:tc>
          <w:tcPr>
            <w:tcW w:w="1621" w:type="dxa"/>
          </w:tcPr>
          <w:p w:rsidR="003C3386" w:rsidRPr="009A3891" w:rsidRDefault="003C3386" w:rsidP="00E65103">
            <w:pPr>
              <w:jc w:val="right"/>
              <w:rPr>
                <w:b/>
                <w:color w:val="000000"/>
              </w:rPr>
            </w:pPr>
            <w:r w:rsidRPr="009A3891">
              <w:rPr>
                <w:b/>
                <w:color w:val="000000"/>
              </w:rPr>
              <w:t>1,</w:t>
            </w:r>
            <w:r>
              <w:rPr>
                <w:b/>
                <w:color w:val="000000"/>
              </w:rPr>
              <w:t>851</w:t>
            </w:r>
          </w:p>
        </w:tc>
      </w:tr>
      <w:tr w:rsidR="003C3386" w:rsidTr="00E65103">
        <w:tc>
          <w:tcPr>
            <w:tcW w:w="2235" w:type="dxa"/>
          </w:tcPr>
          <w:p w:rsidR="003C3386" w:rsidRDefault="003C3386" w:rsidP="00E65103">
            <w:pPr>
              <w:rPr>
                <w:color w:val="000000"/>
              </w:rPr>
            </w:pPr>
            <w:r>
              <w:rPr>
                <w:color w:val="000000"/>
              </w:rPr>
              <w:t>Corporation Tax</w:t>
            </w:r>
          </w:p>
        </w:tc>
        <w:tc>
          <w:tcPr>
            <w:tcW w:w="1701" w:type="dxa"/>
          </w:tcPr>
          <w:p w:rsidR="003C3386" w:rsidRDefault="003C3386" w:rsidP="00E65103">
            <w:pPr>
              <w:jc w:val="right"/>
              <w:rPr>
                <w:color w:val="000000"/>
              </w:rPr>
            </w:pPr>
            <w:r>
              <w:rPr>
                <w:color w:val="000000"/>
              </w:rPr>
              <w:t>(262)</w:t>
            </w:r>
          </w:p>
        </w:tc>
        <w:tc>
          <w:tcPr>
            <w:tcW w:w="1842" w:type="dxa"/>
          </w:tcPr>
          <w:p w:rsidR="003C3386" w:rsidRDefault="003C3386" w:rsidP="00E65103">
            <w:pPr>
              <w:jc w:val="right"/>
              <w:rPr>
                <w:color w:val="000000"/>
              </w:rPr>
            </w:pPr>
            <w:r>
              <w:rPr>
                <w:color w:val="000000"/>
              </w:rPr>
              <w:t>(263)</w:t>
            </w:r>
          </w:p>
        </w:tc>
        <w:tc>
          <w:tcPr>
            <w:tcW w:w="1843" w:type="dxa"/>
          </w:tcPr>
          <w:p w:rsidR="003C3386" w:rsidRDefault="003C3386" w:rsidP="00E65103">
            <w:pPr>
              <w:jc w:val="right"/>
              <w:rPr>
                <w:color w:val="000000"/>
              </w:rPr>
            </w:pPr>
            <w:r>
              <w:rPr>
                <w:color w:val="000000"/>
              </w:rPr>
              <w:t>(284)</w:t>
            </w:r>
          </w:p>
        </w:tc>
        <w:tc>
          <w:tcPr>
            <w:tcW w:w="1621" w:type="dxa"/>
          </w:tcPr>
          <w:p w:rsidR="003C3386" w:rsidRDefault="003C3386" w:rsidP="00E65103">
            <w:pPr>
              <w:jc w:val="right"/>
              <w:rPr>
                <w:color w:val="000000"/>
              </w:rPr>
            </w:pPr>
            <w:r>
              <w:rPr>
                <w:color w:val="000000"/>
              </w:rPr>
              <w:t>(315)</w:t>
            </w:r>
          </w:p>
        </w:tc>
      </w:tr>
      <w:tr w:rsidR="003C3386" w:rsidRPr="009A3891" w:rsidTr="00E65103">
        <w:trPr>
          <w:trHeight w:val="259"/>
        </w:trPr>
        <w:tc>
          <w:tcPr>
            <w:tcW w:w="2235" w:type="dxa"/>
          </w:tcPr>
          <w:p w:rsidR="003C3386" w:rsidRDefault="003C3386" w:rsidP="00E65103">
            <w:pPr>
              <w:rPr>
                <w:color w:val="000000"/>
              </w:rPr>
            </w:pPr>
            <w:r>
              <w:rPr>
                <w:color w:val="000000"/>
              </w:rPr>
              <w:t>Profit after tax</w:t>
            </w:r>
          </w:p>
        </w:tc>
        <w:tc>
          <w:tcPr>
            <w:tcW w:w="1701" w:type="dxa"/>
          </w:tcPr>
          <w:p w:rsidR="003C3386" w:rsidRPr="009A3891" w:rsidRDefault="003C3386" w:rsidP="00E65103">
            <w:pPr>
              <w:jc w:val="right"/>
              <w:rPr>
                <w:b/>
                <w:color w:val="000000"/>
              </w:rPr>
            </w:pPr>
            <w:r>
              <w:rPr>
                <w:b/>
                <w:color w:val="000000"/>
              </w:rPr>
              <w:t>1,116</w:t>
            </w:r>
          </w:p>
        </w:tc>
        <w:tc>
          <w:tcPr>
            <w:tcW w:w="1842" w:type="dxa"/>
          </w:tcPr>
          <w:p w:rsidR="003C3386" w:rsidRPr="009A3891" w:rsidRDefault="003C3386" w:rsidP="00E65103">
            <w:pPr>
              <w:jc w:val="right"/>
              <w:rPr>
                <w:b/>
                <w:color w:val="000000"/>
              </w:rPr>
            </w:pPr>
            <w:r>
              <w:rPr>
                <w:b/>
                <w:color w:val="000000"/>
              </w:rPr>
              <w:t>1,284</w:t>
            </w:r>
          </w:p>
        </w:tc>
        <w:tc>
          <w:tcPr>
            <w:tcW w:w="1843" w:type="dxa"/>
          </w:tcPr>
          <w:p w:rsidR="003C3386" w:rsidRPr="009A3891" w:rsidRDefault="003C3386" w:rsidP="00E65103">
            <w:pPr>
              <w:jc w:val="right"/>
              <w:rPr>
                <w:b/>
                <w:color w:val="000000"/>
              </w:rPr>
            </w:pPr>
            <w:r>
              <w:rPr>
                <w:b/>
                <w:color w:val="000000"/>
              </w:rPr>
              <w:t>1,387</w:t>
            </w:r>
          </w:p>
        </w:tc>
        <w:tc>
          <w:tcPr>
            <w:tcW w:w="1621" w:type="dxa"/>
          </w:tcPr>
          <w:p w:rsidR="003C3386" w:rsidRPr="009A3891" w:rsidRDefault="003C3386" w:rsidP="00E65103">
            <w:pPr>
              <w:jc w:val="right"/>
              <w:rPr>
                <w:b/>
                <w:color w:val="000000"/>
              </w:rPr>
            </w:pPr>
            <w:r>
              <w:rPr>
                <w:b/>
                <w:color w:val="000000"/>
              </w:rPr>
              <w:t>1,536</w:t>
            </w:r>
          </w:p>
        </w:tc>
      </w:tr>
    </w:tbl>
    <w:p w:rsidR="003C3386" w:rsidRDefault="003C3386" w:rsidP="003C3386">
      <w:pPr>
        <w:pStyle w:val="BodyText"/>
        <w:spacing w:line="276" w:lineRule="auto"/>
        <w:ind w:right="527"/>
        <w:jc w:val="both"/>
      </w:pPr>
    </w:p>
    <w:tbl>
      <w:tblPr>
        <w:tblStyle w:val="TableGrid"/>
        <w:tblW w:w="0" w:type="auto"/>
        <w:tblLook w:val="04A0" w:firstRow="1" w:lastRow="0" w:firstColumn="1" w:lastColumn="0" w:noHBand="0" w:noVBand="1"/>
      </w:tblPr>
      <w:tblGrid>
        <w:gridCol w:w="2235"/>
        <w:gridCol w:w="1701"/>
        <w:gridCol w:w="1842"/>
        <w:gridCol w:w="1843"/>
        <w:gridCol w:w="1621"/>
      </w:tblGrid>
      <w:tr w:rsidR="003C3386" w:rsidRPr="008309E5" w:rsidTr="00E65103">
        <w:tc>
          <w:tcPr>
            <w:tcW w:w="9242" w:type="dxa"/>
            <w:gridSpan w:val="5"/>
          </w:tcPr>
          <w:p w:rsidR="003C3386" w:rsidRPr="008309E5" w:rsidRDefault="003C3386" w:rsidP="00E65103">
            <w:pPr>
              <w:rPr>
                <w:b/>
              </w:rPr>
            </w:pPr>
            <w:r>
              <w:rPr>
                <w:b/>
              </w:rPr>
              <w:t>Percentage return</w:t>
            </w:r>
          </w:p>
        </w:tc>
      </w:tr>
      <w:tr w:rsidR="003C3386" w:rsidRPr="008309E5" w:rsidTr="00E65103">
        <w:tc>
          <w:tcPr>
            <w:tcW w:w="2235" w:type="dxa"/>
          </w:tcPr>
          <w:p w:rsidR="003C3386" w:rsidRDefault="003C3386" w:rsidP="00E65103">
            <w:pPr>
              <w:rPr>
                <w:color w:val="000000"/>
              </w:rPr>
            </w:pPr>
            <w:r>
              <w:rPr>
                <w:color w:val="000000"/>
              </w:rPr>
              <w:t>Profit before tax %</w:t>
            </w:r>
          </w:p>
        </w:tc>
        <w:tc>
          <w:tcPr>
            <w:tcW w:w="1701" w:type="dxa"/>
            <w:shd w:val="clear" w:color="auto" w:fill="FFFFFF" w:themeFill="background1"/>
          </w:tcPr>
          <w:p w:rsidR="003C3386" w:rsidRPr="000B22D4" w:rsidRDefault="003C3386" w:rsidP="00E65103">
            <w:pPr>
              <w:jc w:val="right"/>
              <w:rPr>
                <w:color w:val="000000"/>
              </w:rPr>
            </w:pPr>
            <w:r w:rsidRPr="000B22D4">
              <w:rPr>
                <w:color w:val="000000"/>
              </w:rPr>
              <w:t>2.</w:t>
            </w:r>
            <w:r>
              <w:rPr>
                <w:color w:val="000000"/>
              </w:rPr>
              <w:t>52</w:t>
            </w:r>
            <w:r w:rsidRPr="000B22D4">
              <w:rPr>
                <w:color w:val="000000"/>
              </w:rPr>
              <w:t>%</w:t>
            </w:r>
          </w:p>
        </w:tc>
        <w:tc>
          <w:tcPr>
            <w:tcW w:w="1842" w:type="dxa"/>
            <w:shd w:val="clear" w:color="auto" w:fill="FFFFFF" w:themeFill="background1"/>
          </w:tcPr>
          <w:p w:rsidR="003C3386" w:rsidRPr="000B22D4" w:rsidRDefault="003C3386" w:rsidP="00E65103">
            <w:pPr>
              <w:jc w:val="right"/>
              <w:rPr>
                <w:color w:val="000000"/>
              </w:rPr>
            </w:pPr>
            <w:r>
              <w:rPr>
                <w:color w:val="000000"/>
              </w:rPr>
              <w:t>2.81</w:t>
            </w:r>
            <w:r w:rsidRPr="000B22D4">
              <w:rPr>
                <w:color w:val="000000"/>
              </w:rPr>
              <w:t>%</w:t>
            </w:r>
          </w:p>
        </w:tc>
        <w:tc>
          <w:tcPr>
            <w:tcW w:w="1843" w:type="dxa"/>
            <w:shd w:val="clear" w:color="auto" w:fill="FFFFFF" w:themeFill="background1"/>
          </w:tcPr>
          <w:p w:rsidR="003C3386" w:rsidRPr="000B22D4" w:rsidRDefault="003C3386" w:rsidP="00E65103">
            <w:pPr>
              <w:jc w:val="right"/>
              <w:rPr>
                <w:color w:val="000000"/>
              </w:rPr>
            </w:pPr>
            <w:r>
              <w:rPr>
                <w:color w:val="000000"/>
              </w:rPr>
              <w:t>3.01</w:t>
            </w:r>
            <w:r w:rsidRPr="000B22D4">
              <w:rPr>
                <w:color w:val="000000"/>
              </w:rPr>
              <w:t>%</w:t>
            </w:r>
          </w:p>
        </w:tc>
        <w:tc>
          <w:tcPr>
            <w:tcW w:w="1621" w:type="dxa"/>
            <w:shd w:val="clear" w:color="auto" w:fill="FFFFFF" w:themeFill="background1"/>
          </w:tcPr>
          <w:p w:rsidR="003C3386" w:rsidRPr="000B22D4" w:rsidRDefault="003C3386" w:rsidP="00E65103">
            <w:pPr>
              <w:jc w:val="right"/>
              <w:rPr>
                <w:color w:val="000000"/>
              </w:rPr>
            </w:pPr>
            <w:r>
              <w:rPr>
                <w:color w:val="000000"/>
              </w:rPr>
              <w:t>3.33</w:t>
            </w:r>
            <w:r w:rsidRPr="000B22D4">
              <w:rPr>
                <w:color w:val="000000"/>
              </w:rPr>
              <w:t>%</w:t>
            </w:r>
          </w:p>
        </w:tc>
      </w:tr>
      <w:tr w:rsidR="003C3386" w:rsidRPr="00B15F50" w:rsidTr="00E65103">
        <w:tc>
          <w:tcPr>
            <w:tcW w:w="2235" w:type="dxa"/>
          </w:tcPr>
          <w:p w:rsidR="003C3386" w:rsidRDefault="003C3386" w:rsidP="00E65103">
            <w:pPr>
              <w:rPr>
                <w:color w:val="000000"/>
              </w:rPr>
            </w:pPr>
            <w:r>
              <w:rPr>
                <w:color w:val="000000"/>
              </w:rPr>
              <w:t>Profit after tax %</w:t>
            </w:r>
          </w:p>
        </w:tc>
        <w:tc>
          <w:tcPr>
            <w:tcW w:w="1701" w:type="dxa"/>
            <w:vAlign w:val="center"/>
          </w:tcPr>
          <w:p w:rsidR="003C3386" w:rsidRPr="000B22D4" w:rsidRDefault="003C3386" w:rsidP="00E65103">
            <w:pPr>
              <w:jc w:val="right"/>
              <w:rPr>
                <w:color w:val="000000"/>
                <w:u w:val="single"/>
              </w:rPr>
            </w:pPr>
            <w:r w:rsidRPr="000B22D4">
              <w:rPr>
                <w:color w:val="000000"/>
                <w:u w:val="single"/>
              </w:rPr>
              <w:t>2.</w:t>
            </w:r>
            <w:r>
              <w:rPr>
                <w:color w:val="000000"/>
                <w:u w:val="single"/>
              </w:rPr>
              <w:t>04</w:t>
            </w:r>
            <w:r w:rsidRPr="000B22D4">
              <w:rPr>
                <w:color w:val="000000"/>
                <w:u w:val="single"/>
              </w:rPr>
              <w:t>%</w:t>
            </w:r>
          </w:p>
        </w:tc>
        <w:tc>
          <w:tcPr>
            <w:tcW w:w="1842" w:type="dxa"/>
            <w:vAlign w:val="center"/>
          </w:tcPr>
          <w:p w:rsidR="003C3386" w:rsidRPr="000B22D4" w:rsidRDefault="003C3386" w:rsidP="00E65103">
            <w:pPr>
              <w:jc w:val="right"/>
              <w:rPr>
                <w:color w:val="000000"/>
                <w:u w:val="single"/>
              </w:rPr>
            </w:pPr>
            <w:r w:rsidRPr="000B22D4">
              <w:rPr>
                <w:color w:val="000000"/>
                <w:u w:val="single"/>
              </w:rPr>
              <w:t>2.</w:t>
            </w:r>
            <w:r>
              <w:rPr>
                <w:color w:val="000000"/>
                <w:u w:val="single"/>
              </w:rPr>
              <w:t>33</w:t>
            </w:r>
            <w:r w:rsidRPr="000B22D4">
              <w:rPr>
                <w:color w:val="000000"/>
                <w:u w:val="single"/>
              </w:rPr>
              <w:t>%</w:t>
            </w:r>
          </w:p>
        </w:tc>
        <w:tc>
          <w:tcPr>
            <w:tcW w:w="1843" w:type="dxa"/>
            <w:vAlign w:val="center"/>
          </w:tcPr>
          <w:p w:rsidR="003C3386" w:rsidRPr="000B22D4" w:rsidRDefault="003C3386" w:rsidP="00E65103">
            <w:pPr>
              <w:jc w:val="right"/>
              <w:rPr>
                <w:color w:val="000000"/>
                <w:u w:val="single"/>
              </w:rPr>
            </w:pPr>
            <w:r w:rsidRPr="000B22D4">
              <w:rPr>
                <w:color w:val="000000"/>
                <w:u w:val="single"/>
              </w:rPr>
              <w:t>2.</w:t>
            </w:r>
            <w:r>
              <w:rPr>
                <w:color w:val="000000"/>
                <w:u w:val="single"/>
              </w:rPr>
              <w:t>50</w:t>
            </w:r>
            <w:r w:rsidRPr="000B22D4">
              <w:rPr>
                <w:color w:val="000000"/>
                <w:u w:val="single"/>
              </w:rPr>
              <w:t>%</w:t>
            </w:r>
          </w:p>
        </w:tc>
        <w:tc>
          <w:tcPr>
            <w:tcW w:w="1621" w:type="dxa"/>
            <w:vAlign w:val="center"/>
          </w:tcPr>
          <w:p w:rsidR="003C3386" w:rsidRPr="000B22D4" w:rsidRDefault="003C3386" w:rsidP="00E65103">
            <w:pPr>
              <w:jc w:val="right"/>
              <w:rPr>
                <w:color w:val="000000"/>
                <w:u w:val="single"/>
              </w:rPr>
            </w:pPr>
            <w:r>
              <w:rPr>
                <w:color w:val="000000"/>
                <w:u w:val="single"/>
              </w:rPr>
              <w:t>2.76</w:t>
            </w:r>
            <w:r w:rsidRPr="000B22D4">
              <w:rPr>
                <w:color w:val="000000"/>
                <w:u w:val="single"/>
              </w:rPr>
              <w:t>%</w:t>
            </w:r>
          </w:p>
        </w:tc>
      </w:tr>
    </w:tbl>
    <w:p w:rsidR="003C3386" w:rsidRDefault="003C3386" w:rsidP="003C3386">
      <w:pPr>
        <w:pStyle w:val="BodyText"/>
        <w:spacing w:line="276" w:lineRule="auto"/>
        <w:ind w:right="527"/>
        <w:jc w:val="both"/>
      </w:pPr>
    </w:p>
    <w:p w:rsidR="003C3386" w:rsidRDefault="003C3386" w:rsidP="003C3386">
      <w:pPr>
        <w:pStyle w:val="BodyText"/>
        <w:spacing w:line="276" w:lineRule="auto"/>
        <w:ind w:right="527"/>
        <w:jc w:val="both"/>
      </w:pPr>
      <w:r>
        <w:t xml:space="preserve">Within the above figures there are: </w:t>
      </w:r>
    </w:p>
    <w:p w:rsidR="003C3386" w:rsidRDefault="003C3386" w:rsidP="003C3386">
      <w:pPr>
        <w:pStyle w:val="BodyText"/>
        <w:spacing w:line="276" w:lineRule="auto"/>
        <w:ind w:right="527"/>
        <w:jc w:val="both"/>
      </w:pPr>
    </w:p>
    <w:p w:rsidR="003C3386" w:rsidRDefault="003C3386" w:rsidP="003C3386">
      <w:pPr>
        <w:pStyle w:val="BodyText"/>
        <w:numPr>
          <w:ilvl w:val="0"/>
          <w:numId w:val="3"/>
        </w:numPr>
        <w:spacing w:line="276" w:lineRule="auto"/>
        <w:ind w:right="527"/>
        <w:jc w:val="both"/>
      </w:pPr>
      <w:r>
        <w:t>Previous assumptions around income growth generating an extra ongoing £235k per annum in accordance with Councils Medium Term Financial Plan</w:t>
      </w:r>
    </w:p>
    <w:p w:rsidR="003C3386" w:rsidRDefault="003C3386" w:rsidP="003C3386">
      <w:pPr>
        <w:pStyle w:val="BodyText"/>
        <w:numPr>
          <w:ilvl w:val="0"/>
          <w:numId w:val="3"/>
        </w:numPr>
        <w:spacing w:line="276" w:lineRule="auto"/>
        <w:ind w:right="527"/>
        <w:jc w:val="both"/>
      </w:pPr>
      <w:r>
        <w:t xml:space="preserve">additional costs for Non Exec Directors, Tax advice, charges for interest on loans and audit fees and corporation tax of around £285k per annum. If the Council is to be no worse off then these costs will need to be offset by increased income or reduced cost which will be reflected in the business plan. </w:t>
      </w:r>
    </w:p>
    <w:p w:rsidR="003C3386" w:rsidRDefault="003C3386" w:rsidP="003C3386">
      <w:pPr>
        <w:pStyle w:val="BodyText"/>
        <w:numPr>
          <w:ilvl w:val="0"/>
          <w:numId w:val="3"/>
        </w:numPr>
        <w:spacing w:line="276" w:lineRule="auto"/>
        <w:ind w:right="527"/>
        <w:jc w:val="both"/>
      </w:pPr>
      <w:r>
        <w:t>additional benefit which the Company have committed to deliver to the Council in increased revenue or reduced cost commencing in 2019-20</w:t>
      </w:r>
    </w:p>
    <w:p w:rsidR="003C3386" w:rsidRDefault="003C3386" w:rsidP="003C3386">
      <w:pPr>
        <w:pStyle w:val="BodyText"/>
        <w:spacing w:line="276" w:lineRule="auto"/>
        <w:ind w:left="720" w:right="527"/>
        <w:jc w:val="both"/>
      </w:pPr>
    </w:p>
    <w:p w:rsidR="003C3386" w:rsidRPr="00C04795" w:rsidRDefault="003C3386" w:rsidP="003C3386">
      <w:pPr>
        <w:pStyle w:val="BodyText"/>
        <w:spacing w:line="276" w:lineRule="auto"/>
        <w:ind w:right="527"/>
        <w:jc w:val="both"/>
        <w:rPr>
          <w:i/>
        </w:rPr>
      </w:pPr>
      <w:r w:rsidRPr="00C04795">
        <w:rPr>
          <w:i/>
        </w:rPr>
        <w:t>This table is for illustration only and will be subject to the tax planning and dividend decisions by the Board of the companies</w:t>
      </w:r>
    </w:p>
    <w:p w:rsidR="003C3386" w:rsidRDefault="003C3386" w:rsidP="003C3386">
      <w:pPr>
        <w:pStyle w:val="BodyText"/>
        <w:spacing w:line="276" w:lineRule="auto"/>
        <w:ind w:right="527"/>
        <w:jc w:val="both"/>
      </w:pPr>
    </w:p>
    <w:p w:rsidR="003C3386" w:rsidRDefault="003C3386" w:rsidP="003C3386">
      <w:pPr>
        <w:pStyle w:val="BodyText"/>
        <w:spacing w:line="276" w:lineRule="auto"/>
        <w:ind w:right="527"/>
        <w:jc w:val="both"/>
      </w:pPr>
      <w:r>
        <w:t>The overall changes for the LATCO are shown as follows:</w:t>
      </w:r>
    </w:p>
    <w:p w:rsidR="003C3386" w:rsidRDefault="003C3386" w:rsidP="003C3386">
      <w:pPr>
        <w:pStyle w:val="BodyText"/>
        <w:spacing w:line="276" w:lineRule="auto"/>
        <w:ind w:right="527"/>
        <w:jc w:val="both"/>
      </w:pPr>
    </w:p>
    <w:tbl>
      <w:tblPr>
        <w:tblStyle w:val="TableGrid"/>
        <w:tblW w:w="0" w:type="auto"/>
        <w:tblLook w:val="04A0" w:firstRow="1" w:lastRow="0" w:firstColumn="1" w:lastColumn="0" w:noHBand="0" w:noVBand="1"/>
      </w:tblPr>
      <w:tblGrid>
        <w:gridCol w:w="2217"/>
        <w:gridCol w:w="1877"/>
        <w:gridCol w:w="1785"/>
        <w:gridCol w:w="1786"/>
        <w:gridCol w:w="1577"/>
      </w:tblGrid>
      <w:tr w:rsidR="003C3386" w:rsidRPr="008309E5" w:rsidTr="00E65103">
        <w:tc>
          <w:tcPr>
            <w:tcW w:w="9242" w:type="dxa"/>
            <w:gridSpan w:val="5"/>
          </w:tcPr>
          <w:p w:rsidR="003C3386" w:rsidRPr="008309E5" w:rsidRDefault="003C3386" w:rsidP="00E65103">
            <w:pPr>
              <w:rPr>
                <w:b/>
                <w:color w:val="000000"/>
              </w:rPr>
            </w:pPr>
            <w:r>
              <w:rPr>
                <w:b/>
                <w:color w:val="000000"/>
              </w:rPr>
              <w:t>Additional income/ economies generated by LATCO</w:t>
            </w:r>
          </w:p>
        </w:tc>
      </w:tr>
      <w:tr w:rsidR="003C3386" w:rsidRPr="008309E5" w:rsidTr="00E65103">
        <w:tc>
          <w:tcPr>
            <w:tcW w:w="2217" w:type="dxa"/>
          </w:tcPr>
          <w:p w:rsidR="003C3386" w:rsidRDefault="003C3386" w:rsidP="00E65103">
            <w:pPr>
              <w:rPr>
                <w:color w:val="000000"/>
              </w:rPr>
            </w:pPr>
          </w:p>
        </w:tc>
        <w:tc>
          <w:tcPr>
            <w:tcW w:w="1877" w:type="dxa"/>
            <w:shd w:val="clear" w:color="auto" w:fill="D9D9D9" w:themeFill="background1" w:themeFillShade="D9"/>
          </w:tcPr>
          <w:p w:rsidR="003C3386" w:rsidRPr="008309E5" w:rsidRDefault="003C3386" w:rsidP="00E65103">
            <w:pPr>
              <w:jc w:val="center"/>
              <w:rPr>
                <w:b/>
                <w:color w:val="000000"/>
              </w:rPr>
            </w:pPr>
            <w:r w:rsidRPr="008309E5">
              <w:rPr>
                <w:b/>
                <w:color w:val="000000"/>
              </w:rPr>
              <w:t>£000s</w:t>
            </w:r>
          </w:p>
        </w:tc>
        <w:tc>
          <w:tcPr>
            <w:tcW w:w="1785" w:type="dxa"/>
            <w:shd w:val="clear" w:color="auto" w:fill="D9D9D9" w:themeFill="background1" w:themeFillShade="D9"/>
          </w:tcPr>
          <w:p w:rsidR="003C3386" w:rsidRPr="008309E5" w:rsidRDefault="003C3386" w:rsidP="00E65103">
            <w:pPr>
              <w:jc w:val="center"/>
              <w:rPr>
                <w:b/>
              </w:rPr>
            </w:pPr>
            <w:r w:rsidRPr="008309E5">
              <w:rPr>
                <w:b/>
                <w:color w:val="000000"/>
              </w:rPr>
              <w:t>£000s</w:t>
            </w:r>
          </w:p>
        </w:tc>
        <w:tc>
          <w:tcPr>
            <w:tcW w:w="1786" w:type="dxa"/>
            <w:shd w:val="clear" w:color="auto" w:fill="D9D9D9" w:themeFill="background1" w:themeFillShade="D9"/>
          </w:tcPr>
          <w:p w:rsidR="003C3386" w:rsidRPr="008309E5" w:rsidRDefault="003C3386" w:rsidP="00E65103">
            <w:pPr>
              <w:jc w:val="center"/>
              <w:rPr>
                <w:b/>
              </w:rPr>
            </w:pPr>
            <w:r w:rsidRPr="008309E5">
              <w:rPr>
                <w:b/>
                <w:color w:val="000000"/>
              </w:rPr>
              <w:t>£000s</w:t>
            </w:r>
          </w:p>
        </w:tc>
        <w:tc>
          <w:tcPr>
            <w:tcW w:w="1577" w:type="dxa"/>
            <w:shd w:val="clear" w:color="auto" w:fill="D9D9D9" w:themeFill="background1" w:themeFillShade="D9"/>
          </w:tcPr>
          <w:p w:rsidR="003C3386" w:rsidRPr="008309E5" w:rsidRDefault="003C3386" w:rsidP="00E65103">
            <w:pPr>
              <w:jc w:val="center"/>
              <w:rPr>
                <w:b/>
              </w:rPr>
            </w:pPr>
            <w:r w:rsidRPr="008309E5">
              <w:rPr>
                <w:b/>
                <w:color w:val="000000"/>
              </w:rPr>
              <w:t>£000s</w:t>
            </w:r>
          </w:p>
        </w:tc>
      </w:tr>
      <w:tr w:rsidR="003C3386" w:rsidRPr="008309E5" w:rsidTr="00E65103">
        <w:tc>
          <w:tcPr>
            <w:tcW w:w="2217" w:type="dxa"/>
          </w:tcPr>
          <w:p w:rsidR="003C3386" w:rsidRDefault="003C3386" w:rsidP="00E65103">
            <w:pPr>
              <w:rPr>
                <w:color w:val="000000"/>
              </w:rPr>
            </w:pPr>
          </w:p>
        </w:tc>
        <w:tc>
          <w:tcPr>
            <w:tcW w:w="1877" w:type="dxa"/>
            <w:shd w:val="clear" w:color="auto" w:fill="D9D9D9" w:themeFill="background1" w:themeFillShade="D9"/>
          </w:tcPr>
          <w:p w:rsidR="003C3386" w:rsidRPr="008309E5" w:rsidRDefault="003C3386" w:rsidP="00E65103">
            <w:pPr>
              <w:jc w:val="center"/>
              <w:rPr>
                <w:b/>
                <w:color w:val="000000"/>
              </w:rPr>
            </w:pPr>
            <w:r w:rsidRPr="008309E5">
              <w:rPr>
                <w:b/>
                <w:color w:val="000000"/>
              </w:rPr>
              <w:t>2018-19</w:t>
            </w:r>
          </w:p>
        </w:tc>
        <w:tc>
          <w:tcPr>
            <w:tcW w:w="1785" w:type="dxa"/>
            <w:shd w:val="clear" w:color="auto" w:fill="D9D9D9" w:themeFill="background1" w:themeFillShade="D9"/>
          </w:tcPr>
          <w:p w:rsidR="003C3386" w:rsidRPr="008309E5" w:rsidRDefault="003C3386" w:rsidP="00E65103">
            <w:pPr>
              <w:jc w:val="center"/>
              <w:rPr>
                <w:b/>
                <w:color w:val="000000"/>
              </w:rPr>
            </w:pPr>
            <w:r w:rsidRPr="008309E5">
              <w:rPr>
                <w:b/>
                <w:color w:val="000000"/>
              </w:rPr>
              <w:t>2019-20</w:t>
            </w:r>
          </w:p>
        </w:tc>
        <w:tc>
          <w:tcPr>
            <w:tcW w:w="1786" w:type="dxa"/>
            <w:shd w:val="clear" w:color="auto" w:fill="D9D9D9" w:themeFill="background1" w:themeFillShade="D9"/>
          </w:tcPr>
          <w:p w:rsidR="003C3386" w:rsidRPr="008309E5" w:rsidRDefault="003C3386" w:rsidP="00E65103">
            <w:pPr>
              <w:jc w:val="center"/>
              <w:rPr>
                <w:b/>
                <w:color w:val="000000"/>
              </w:rPr>
            </w:pPr>
            <w:r w:rsidRPr="008309E5">
              <w:rPr>
                <w:b/>
                <w:color w:val="000000"/>
              </w:rPr>
              <w:t>2020-21</w:t>
            </w:r>
          </w:p>
        </w:tc>
        <w:tc>
          <w:tcPr>
            <w:tcW w:w="1577" w:type="dxa"/>
            <w:shd w:val="clear" w:color="auto" w:fill="D9D9D9" w:themeFill="background1" w:themeFillShade="D9"/>
          </w:tcPr>
          <w:p w:rsidR="003C3386" w:rsidRPr="008309E5" w:rsidRDefault="003C3386" w:rsidP="00E65103">
            <w:pPr>
              <w:jc w:val="center"/>
              <w:rPr>
                <w:b/>
                <w:color w:val="000000"/>
              </w:rPr>
            </w:pPr>
            <w:r w:rsidRPr="008309E5">
              <w:rPr>
                <w:b/>
                <w:color w:val="000000"/>
              </w:rPr>
              <w:t>202</w:t>
            </w:r>
            <w:r>
              <w:rPr>
                <w:b/>
                <w:color w:val="000000"/>
              </w:rPr>
              <w:t>1</w:t>
            </w:r>
            <w:r w:rsidRPr="008309E5">
              <w:rPr>
                <w:b/>
                <w:color w:val="000000"/>
              </w:rPr>
              <w:t>-2</w:t>
            </w:r>
            <w:r>
              <w:rPr>
                <w:b/>
                <w:color w:val="000000"/>
              </w:rPr>
              <w:t>2</w:t>
            </w:r>
          </w:p>
        </w:tc>
      </w:tr>
      <w:tr w:rsidR="003C3386" w:rsidTr="00E65103">
        <w:tc>
          <w:tcPr>
            <w:tcW w:w="2217" w:type="dxa"/>
          </w:tcPr>
          <w:p w:rsidR="003C3386" w:rsidRDefault="003C3386" w:rsidP="00E65103">
            <w:pPr>
              <w:rPr>
                <w:color w:val="000000"/>
              </w:rPr>
            </w:pPr>
            <w:r>
              <w:rPr>
                <w:color w:val="000000"/>
              </w:rPr>
              <w:t>Previous assumptions around income growth in MTFP</w:t>
            </w:r>
          </w:p>
        </w:tc>
        <w:tc>
          <w:tcPr>
            <w:tcW w:w="1877" w:type="dxa"/>
          </w:tcPr>
          <w:p w:rsidR="003C3386" w:rsidRDefault="003C3386" w:rsidP="00E65103">
            <w:pPr>
              <w:tabs>
                <w:tab w:val="left" w:pos="1260"/>
              </w:tabs>
              <w:jc w:val="right"/>
              <w:rPr>
                <w:color w:val="000000"/>
              </w:rPr>
            </w:pPr>
            <w:r>
              <w:rPr>
                <w:color w:val="000000"/>
              </w:rPr>
              <w:t>160</w:t>
            </w:r>
          </w:p>
        </w:tc>
        <w:tc>
          <w:tcPr>
            <w:tcW w:w="1785" w:type="dxa"/>
          </w:tcPr>
          <w:p w:rsidR="003C3386" w:rsidRDefault="003C3386" w:rsidP="00E65103">
            <w:pPr>
              <w:jc w:val="right"/>
              <w:rPr>
                <w:color w:val="000000"/>
              </w:rPr>
            </w:pPr>
            <w:r>
              <w:rPr>
                <w:color w:val="000000"/>
              </w:rPr>
              <w:t>210</w:t>
            </w:r>
          </w:p>
        </w:tc>
        <w:tc>
          <w:tcPr>
            <w:tcW w:w="1786" w:type="dxa"/>
          </w:tcPr>
          <w:p w:rsidR="003C3386" w:rsidRDefault="003C3386" w:rsidP="00E65103">
            <w:pPr>
              <w:jc w:val="right"/>
              <w:rPr>
                <w:color w:val="000000"/>
              </w:rPr>
            </w:pPr>
            <w:r>
              <w:rPr>
                <w:color w:val="000000"/>
              </w:rPr>
              <w:t>235</w:t>
            </w:r>
          </w:p>
        </w:tc>
        <w:tc>
          <w:tcPr>
            <w:tcW w:w="1577" w:type="dxa"/>
          </w:tcPr>
          <w:p w:rsidR="003C3386" w:rsidRDefault="003C3386" w:rsidP="00E65103">
            <w:pPr>
              <w:jc w:val="right"/>
              <w:rPr>
                <w:color w:val="000000"/>
              </w:rPr>
            </w:pPr>
            <w:r>
              <w:rPr>
                <w:color w:val="000000"/>
              </w:rPr>
              <w:t>235</w:t>
            </w:r>
          </w:p>
        </w:tc>
      </w:tr>
      <w:tr w:rsidR="003C3386" w:rsidTr="00E65103">
        <w:tc>
          <w:tcPr>
            <w:tcW w:w="2217" w:type="dxa"/>
          </w:tcPr>
          <w:p w:rsidR="003C3386" w:rsidRDefault="003C3386" w:rsidP="00E65103">
            <w:pPr>
              <w:rPr>
                <w:color w:val="000000"/>
              </w:rPr>
            </w:pPr>
            <w:r>
              <w:rPr>
                <w:color w:val="000000"/>
              </w:rPr>
              <w:t xml:space="preserve">Additional income/economies to cover additional costs </w:t>
            </w:r>
          </w:p>
        </w:tc>
        <w:tc>
          <w:tcPr>
            <w:tcW w:w="1877" w:type="dxa"/>
          </w:tcPr>
          <w:p w:rsidR="003C3386" w:rsidRDefault="003C3386" w:rsidP="00E65103">
            <w:pPr>
              <w:tabs>
                <w:tab w:val="left" w:pos="1260"/>
              </w:tabs>
              <w:rPr>
                <w:color w:val="000000"/>
              </w:rPr>
            </w:pPr>
            <w:r>
              <w:rPr>
                <w:color w:val="000000"/>
              </w:rPr>
              <w:tab/>
              <w:t>285</w:t>
            </w:r>
          </w:p>
        </w:tc>
        <w:tc>
          <w:tcPr>
            <w:tcW w:w="1785" w:type="dxa"/>
          </w:tcPr>
          <w:p w:rsidR="003C3386" w:rsidRDefault="003C3386" w:rsidP="00E65103">
            <w:pPr>
              <w:jc w:val="right"/>
              <w:rPr>
                <w:color w:val="000000"/>
              </w:rPr>
            </w:pPr>
            <w:r>
              <w:rPr>
                <w:color w:val="000000"/>
              </w:rPr>
              <w:t>279</w:t>
            </w:r>
          </w:p>
        </w:tc>
        <w:tc>
          <w:tcPr>
            <w:tcW w:w="1786" w:type="dxa"/>
          </w:tcPr>
          <w:p w:rsidR="003C3386" w:rsidRDefault="003C3386" w:rsidP="00E65103">
            <w:pPr>
              <w:jc w:val="right"/>
              <w:rPr>
                <w:color w:val="000000"/>
              </w:rPr>
            </w:pPr>
            <w:r>
              <w:rPr>
                <w:color w:val="000000"/>
              </w:rPr>
              <w:t>279</w:t>
            </w:r>
          </w:p>
        </w:tc>
        <w:tc>
          <w:tcPr>
            <w:tcW w:w="1577" w:type="dxa"/>
          </w:tcPr>
          <w:p w:rsidR="003C3386" w:rsidRDefault="003C3386" w:rsidP="00E65103">
            <w:pPr>
              <w:jc w:val="right"/>
              <w:rPr>
                <w:color w:val="000000"/>
              </w:rPr>
            </w:pPr>
            <w:r>
              <w:rPr>
                <w:color w:val="000000"/>
              </w:rPr>
              <w:t>274</w:t>
            </w:r>
          </w:p>
        </w:tc>
      </w:tr>
      <w:tr w:rsidR="003C3386" w:rsidTr="00E65103">
        <w:tc>
          <w:tcPr>
            <w:tcW w:w="2217" w:type="dxa"/>
          </w:tcPr>
          <w:p w:rsidR="003C3386" w:rsidRDefault="003C3386" w:rsidP="00E65103">
            <w:pPr>
              <w:rPr>
                <w:color w:val="000000"/>
              </w:rPr>
            </w:pPr>
            <w:r>
              <w:rPr>
                <w:color w:val="000000"/>
              </w:rPr>
              <w:t xml:space="preserve">Additional benefit (income/economies) </w:t>
            </w:r>
          </w:p>
        </w:tc>
        <w:tc>
          <w:tcPr>
            <w:tcW w:w="1877" w:type="dxa"/>
          </w:tcPr>
          <w:p w:rsidR="003C3386" w:rsidRDefault="003C3386" w:rsidP="00E65103">
            <w:pPr>
              <w:jc w:val="right"/>
              <w:rPr>
                <w:color w:val="000000"/>
              </w:rPr>
            </w:pPr>
            <w:r>
              <w:rPr>
                <w:color w:val="000000"/>
              </w:rPr>
              <w:t>0</w:t>
            </w:r>
          </w:p>
        </w:tc>
        <w:tc>
          <w:tcPr>
            <w:tcW w:w="1785" w:type="dxa"/>
          </w:tcPr>
          <w:p w:rsidR="003C3386" w:rsidRDefault="003C3386" w:rsidP="00E65103">
            <w:pPr>
              <w:jc w:val="right"/>
              <w:rPr>
                <w:color w:val="000000"/>
              </w:rPr>
            </w:pPr>
            <w:r>
              <w:rPr>
                <w:color w:val="000000"/>
              </w:rPr>
              <w:t>200</w:t>
            </w:r>
          </w:p>
        </w:tc>
        <w:tc>
          <w:tcPr>
            <w:tcW w:w="1786" w:type="dxa"/>
          </w:tcPr>
          <w:p w:rsidR="003C3386" w:rsidRDefault="003C3386" w:rsidP="00E65103">
            <w:pPr>
              <w:jc w:val="right"/>
              <w:rPr>
                <w:color w:val="000000"/>
              </w:rPr>
            </w:pPr>
            <w:r>
              <w:rPr>
                <w:color w:val="000000"/>
              </w:rPr>
              <w:t>350</w:t>
            </w:r>
          </w:p>
        </w:tc>
        <w:tc>
          <w:tcPr>
            <w:tcW w:w="1577" w:type="dxa"/>
          </w:tcPr>
          <w:p w:rsidR="003C3386" w:rsidRDefault="003C3386" w:rsidP="00E65103">
            <w:pPr>
              <w:jc w:val="right"/>
              <w:rPr>
                <w:color w:val="000000"/>
              </w:rPr>
            </w:pPr>
            <w:r>
              <w:rPr>
                <w:color w:val="000000"/>
              </w:rPr>
              <w:t>500</w:t>
            </w:r>
          </w:p>
        </w:tc>
      </w:tr>
      <w:tr w:rsidR="003C3386" w:rsidTr="00E65103">
        <w:tc>
          <w:tcPr>
            <w:tcW w:w="2217" w:type="dxa"/>
          </w:tcPr>
          <w:p w:rsidR="003C3386" w:rsidRDefault="003C3386" w:rsidP="00E65103">
            <w:pPr>
              <w:rPr>
                <w:color w:val="000000"/>
              </w:rPr>
            </w:pPr>
          </w:p>
        </w:tc>
        <w:tc>
          <w:tcPr>
            <w:tcW w:w="1877" w:type="dxa"/>
          </w:tcPr>
          <w:p w:rsidR="003C3386" w:rsidRDefault="003C3386" w:rsidP="00E65103">
            <w:pPr>
              <w:jc w:val="right"/>
              <w:rPr>
                <w:color w:val="000000"/>
              </w:rPr>
            </w:pPr>
          </w:p>
        </w:tc>
        <w:tc>
          <w:tcPr>
            <w:tcW w:w="1785" w:type="dxa"/>
          </w:tcPr>
          <w:p w:rsidR="003C3386" w:rsidRDefault="003C3386" w:rsidP="00E65103">
            <w:pPr>
              <w:jc w:val="right"/>
              <w:rPr>
                <w:color w:val="000000"/>
              </w:rPr>
            </w:pPr>
          </w:p>
        </w:tc>
        <w:tc>
          <w:tcPr>
            <w:tcW w:w="1786" w:type="dxa"/>
          </w:tcPr>
          <w:p w:rsidR="003C3386" w:rsidRDefault="003C3386" w:rsidP="00E65103">
            <w:pPr>
              <w:jc w:val="right"/>
              <w:rPr>
                <w:color w:val="000000"/>
              </w:rPr>
            </w:pPr>
          </w:p>
        </w:tc>
        <w:tc>
          <w:tcPr>
            <w:tcW w:w="1577" w:type="dxa"/>
          </w:tcPr>
          <w:p w:rsidR="003C3386" w:rsidRDefault="003C3386" w:rsidP="00E65103">
            <w:pPr>
              <w:jc w:val="right"/>
              <w:rPr>
                <w:color w:val="000000"/>
              </w:rPr>
            </w:pPr>
          </w:p>
        </w:tc>
      </w:tr>
      <w:tr w:rsidR="003C3386" w:rsidTr="00E65103">
        <w:tc>
          <w:tcPr>
            <w:tcW w:w="2217" w:type="dxa"/>
          </w:tcPr>
          <w:p w:rsidR="003C3386" w:rsidRDefault="003C3386" w:rsidP="00E65103">
            <w:pPr>
              <w:rPr>
                <w:color w:val="000000"/>
              </w:rPr>
            </w:pPr>
            <w:r>
              <w:rPr>
                <w:color w:val="000000"/>
              </w:rPr>
              <w:t>Total</w:t>
            </w:r>
          </w:p>
        </w:tc>
        <w:tc>
          <w:tcPr>
            <w:tcW w:w="1877" w:type="dxa"/>
          </w:tcPr>
          <w:p w:rsidR="003C3386" w:rsidRDefault="003C3386" w:rsidP="00E65103">
            <w:pPr>
              <w:jc w:val="right"/>
              <w:rPr>
                <w:color w:val="000000"/>
              </w:rPr>
            </w:pPr>
            <w:r>
              <w:rPr>
                <w:color w:val="000000"/>
              </w:rPr>
              <w:t>445</w:t>
            </w:r>
          </w:p>
        </w:tc>
        <w:tc>
          <w:tcPr>
            <w:tcW w:w="1785" w:type="dxa"/>
          </w:tcPr>
          <w:p w:rsidR="003C3386" w:rsidRDefault="003C3386" w:rsidP="00E65103">
            <w:pPr>
              <w:jc w:val="right"/>
              <w:rPr>
                <w:color w:val="000000"/>
              </w:rPr>
            </w:pPr>
            <w:r>
              <w:rPr>
                <w:color w:val="000000"/>
              </w:rPr>
              <w:t>689</w:t>
            </w:r>
          </w:p>
        </w:tc>
        <w:tc>
          <w:tcPr>
            <w:tcW w:w="1786" w:type="dxa"/>
          </w:tcPr>
          <w:p w:rsidR="003C3386" w:rsidRDefault="003C3386" w:rsidP="00E65103">
            <w:pPr>
              <w:jc w:val="right"/>
              <w:rPr>
                <w:color w:val="000000"/>
              </w:rPr>
            </w:pPr>
            <w:r>
              <w:rPr>
                <w:color w:val="000000"/>
              </w:rPr>
              <w:t>864</w:t>
            </w:r>
          </w:p>
        </w:tc>
        <w:tc>
          <w:tcPr>
            <w:tcW w:w="1577" w:type="dxa"/>
          </w:tcPr>
          <w:p w:rsidR="003C3386" w:rsidRDefault="003C3386" w:rsidP="00E65103">
            <w:pPr>
              <w:jc w:val="right"/>
              <w:rPr>
                <w:color w:val="000000"/>
              </w:rPr>
            </w:pPr>
            <w:r>
              <w:rPr>
                <w:color w:val="000000"/>
              </w:rPr>
              <w:t>1,009</w:t>
            </w:r>
          </w:p>
        </w:tc>
      </w:tr>
    </w:tbl>
    <w:p w:rsidR="003C3386" w:rsidRDefault="003C3386" w:rsidP="003C3386">
      <w:pPr>
        <w:pStyle w:val="BodyText"/>
        <w:spacing w:line="276" w:lineRule="auto"/>
        <w:ind w:right="527"/>
        <w:jc w:val="both"/>
      </w:pPr>
    </w:p>
    <w:p w:rsidR="003C3386" w:rsidRDefault="003C3386" w:rsidP="003C3386">
      <w:pPr>
        <w:pStyle w:val="BodyText"/>
        <w:spacing w:line="276" w:lineRule="auto"/>
        <w:ind w:left="220" w:right="527"/>
        <w:jc w:val="both"/>
      </w:pPr>
      <w:r>
        <w:t>2018/19 will be a transition year, moving the Council’s Direct Services Department into Oxford Direct Services – the company. Given the need to establish the operations in that context, the growth aim will be only that which is already committed to in the Council Medium Term Financial Plan together with the additional income and efficiencies to cover the increased ongoing costs of running a company.</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 xml:space="preserve">From 2019 onwards, increased returns </w:t>
      </w:r>
      <w:r w:rsidRPr="007C4C08">
        <w:t>will be achieved by a combination of delivering services more</w:t>
      </w:r>
      <w:r>
        <w:t xml:space="preserve"> efficiently and winning new business. ODS has long-term aspirations for growth and to develop income streams by taking its offering further into the market, and wider geographic area. Fundamental to this is the need to continue to work closely with Oxford City Council to maximize the opportunities for ODS to undertake relevant works, ensuring excellent programming and driving efficiency in the delivery of Council work to </w:t>
      </w:r>
      <w:r>
        <w:lastRenderedPageBreak/>
        <w:t xml:space="preserve">free capacity with which to trade. </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In addition to the return following more cost effective services and increased income the Company will:</w:t>
      </w:r>
    </w:p>
    <w:p w:rsidR="003C3386" w:rsidRDefault="003C3386" w:rsidP="003C3386">
      <w:pPr>
        <w:pStyle w:val="BodyText"/>
        <w:spacing w:line="276" w:lineRule="auto"/>
        <w:ind w:left="220" w:right="527"/>
        <w:jc w:val="both"/>
      </w:pPr>
    </w:p>
    <w:p w:rsidR="003C3386" w:rsidRDefault="003C3386" w:rsidP="003C3386">
      <w:pPr>
        <w:pStyle w:val="BodyText"/>
        <w:numPr>
          <w:ilvl w:val="0"/>
          <w:numId w:val="2"/>
        </w:numPr>
        <w:spacing w:line="276" w:lineRule="auto"/>
        <w:ind w:right="527"/>
        <w:jc w:val="both"/>
      </w:pPr>
      <w:r>
        <w:t>pay the Council for support services plus a premium  to assist it in driving its business</w:t>
      </w:r>
    </w:p>
    <w:p w:rsidR="003C3386" w:rsidRDefault="003C3386" w:rsidP="003C3386">
      <w:pPr>
        <w:pStyle w:val="BodyText"/>
        <w:numPr>
          <w:ilvl w:val="0"/>
          <w:numId w:val="2"/>
        </w:numPr>
        <w:spacing w:line="276" w:lineRule="auto"/>
        <w:ind w:right="527"/>
        <w:jc w:val="both"/>
      </w:pPr>
      <w:r>
        <w:t>reimburse the Council for the costs of purchasing vehicles, based on an annual leasing charge</w:t>
      </w:r>
    </w:p>
    <w:p w:rsidR="003C3386" w:rsidRDefault="003C3386" w:rsidP="003C3386">
      <w:pPr>
        <w:pStyle w:val="BodyText"/>
        <w:numPr>
          <w:ilvl w:val="0"/>
          <w:numId w:val="2"/>
        </w:numPr>
        <w:spacing w:line="276" w:lineRule="auto"/>
        <w:ind w:right="527"/>
        <w:jc w:val="both"/>
      </w:pPr>
      <w:r>
        <w:t>pay commercial rent for the occupation of the depots at Horspath Road and Cowley Marsh</w:t>
      </w:r>
    </w:p>
    <w:p w:rsidR="003C3386" w:rsidRDefault="003C3386" w:rsidP="003C3386">
      <w:pPr>
        <w:pStyle w:val="BodyText"/>
        <w:numPr>
          <w:ilvl w:val="0"/>
          <w:numId w:val="2"/>
        </w:numPr>
        <w:spacing w:line="276" w:lineRule="auto"/>
        <w:ind w:right="527"/>
        <w:jc w:val="both"/>
      </w:pPr>
      <w:r>
        <w:t xml:space="preserve">Manage car parking and domestic waste operations (garden waste &amp; recycling credits) on behalf of the Council which deliver approximately £8.5 million income per annum </w:t>
      </w:r>
    </w:p>
    <w:p w:rsidR="003C3386" w:rsidRDefault="003C3386" w:rsidP="003C3386">
      <w:pPr>
        <w:pStyle w:val="BodyText"/>
        <w:numPr>
          <w:ilvl w:val="0"/>
          <w:numId w:val="2"/>
        </w:numPr>
        <w:spacing w:line="276" w:lineRule="auto"/>
        <w:ind w:right="527"/>
        <w:jc w:val="both"/>
      </w:pPr>
      <w:r>
        <w:t>Pay the Council a commercial rate of interest for loans</w:t>
      </w:r>
    </w:p>
    <w:p w:rsidR="003C3386" w:rsidRDefault="003C3386" w:rsidP="003C3386">
      <w:pPr>
        <w:pStyle w:val="BodyText"/>
        <w:spacing w:line="276" w:lineRule="auto"/>
        <w:ind w:right="527"/>
        <w:jc w:val="both"/>
      </w:pPr>
    </w:p>
    <w:p w:rsidR="003C3386" w:rsidRDefault="003C3386" w:rsidP="003C3386">
      <w:pPr>
        <w:pStyle w:val="BodyText"/>
        <w:spacing w:line="276" w:lineRule="auto"/>
        <w:ind w:left="220" w:right="527"/>
        <w:jc w:val="both"/>
      </w:pPr>
      <w:r>
        <w:t>Taken together the total return to the shareholder through these arrangements are in the order of £5 million plus</w:t>
      </w:r>
      <w:r w:rsidR="00726448">
        <w:t xml:space="preserve"> per annum</w:t>
      </w:r>
      <w:r>
        <w:t>, in addition to the income from car parking and domestic waste</w:t>
      </w:r>
    </w:p>
    <w:p w:rsidR="003C3386" w:rsidRDefault="003C3386" w:rsidP="003C3386">
      <w:pPr>
        <w:pStyle w:val="BodyText"/>
        <w:spacing w:line="276" w:lineRule="auto"/>
        <w:ind w:right="527"/>
        <w:jc w:val="both"/>
      </w:pPr>
    </w:p>
    <w:p w:rsidR="003C3386" w:rsidRDefault="003C3386" w:rsidP="003C3386">
      <w:pPr>
        <w:pStyle w:val="BodyText"/>
        <w:spacing w:line="276" w:lineRule="auto"/>
        <w:ind w:left="220" w:right="527"/>
        <w:jc w:val="both"/>
      </w:pPr>
      <w:r>
        <w:t xml:space="preserve">From an operational and cultural perspective ODS aims to deliver value through provision of high quality services to Oxford City Council and be acknowledged as a great place to work for our employees. The Delivery Strategy included in this document sets out the strategic activities which underpin our approach to business. </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ODS is unique in our region. Wholly owned by Oxford City Council, profits are directed to the benefit of a much wider community rather than private shareholders. This reinvestment helps deliver excellent public services funded by commercial enterprise which (given our reputation) are regarded as high quality and value for money. ODS - public service ethos, commercially driven.</w:t>
      </w:r>
    </w:p>
    <w:p w:rsidR="003C3386" w:rsidRDefault="003C3386" w:rsidP="003C3386">
      <w:pPr>
        <w:pStyle w:val="BodyText"/>
        <w:spacing w:line="276" w:lineRule="auto"/>
        <w:ind w:left="220" w:right="527"/>
        <w:jc w:val="both"/>
      </w:pPr>
    </w:p>
    <w:p w:rsidR="003C3386" w:rsidRDefault="003C3386" w:rsidP="003C3386">
      <w:pPr>
        <w:pStyle w:val="BodyText"/>
        <w:spacing w:line="276" w:lineRule="auto"/>
        <w:ind w:left="220" w:right="527"/>
        <w:jc w:val="both"/>
      </w:pPr>
      <w:r>
        <w:t>Ultimately ODS differentiates from others as a progressive people business, with a well-trained, motivated and committed workforce delivering quality services combined with market levels of productivity. We depend on our people to deliver great services and it is their passion that sets us apart.</w:t>
      </w:r>
    </w:p>
    <w:p w:rsidR="00667B0F" w:rsidRDefault="00667B0F" w:rsidP="003C3386"/>
    <w:sectPr w:rsidR="00667B0F" w:rsidSect="003C3386">
      <w:footerReference w:type="default" r:id="rId8"/>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86" w:rsidRDefault="003C3386" w:rsidP="003C3386">
      <w:r>
        <w:separator/>
      </w:r>
    </w:p>
  </w:endnote>
  <w:endnote w:type="continuationSeparator" w:id="0">
    <w:p w:rsidR="003C3386" w:rsidRDefault="003C3386" w:rsidP="003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834999"/>
      <w:docPartObj>
        <w:docPartGallery w:val="Page Numbers (Bottom of Page)"/>
        <w:docPartUnique/>
      </w:docPartObj>
    </w:sdtPr>
    <w:sdtEndPr>
      <w:rPr>
        <w:noProof/>
      </w:rPr>
    </w:sdtEndPr>
    <w:sdtContent>
      <w:p w:rsidR="003C3386" w:rsidRDefault="003C3386">
        <w:pPr>
          <w:pStyle w:val="Footer"/>
          <w:jc w:val="right"/>
        </w:pPr>
        <w:r>
          <w:fldChar w:fldCharType="begin"/>
        </w:r>
        <w:r>
          <w:instrText xml:space="preserve"> PAGE   \* MERGEFORMAT </w:instrText>
        </w:r>
        <w:r>
          <w:fldChar w:fldCharType="separate"/>
        </w:r>
        <w:r w:rsidR="00CA6FB0">
          <w:rPr>
            <w:noProof/>
          </w:rPr>
          <w:t>2</w:t>
        </w:r>
        <w:r>
          <w:rPr>
            <w:noProof/>
          </w:rPr>
          <w:fldChar w:fldCharType="end"/>
        </w:r>
      </w:p>
    </w:sdtContent>
  </w:sdt>
  <w:p w:rsidR="003C3386" w:rsidRDefault="003C3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86" w:rsidRDefault="003C3386" w:rsidP="003C3386">
      <w:r>
        <w:separator/>
      </w:r>
    </w:p>
  </w:footnote>
  <w:footnote w:type="continuationSeparator" w:id="0">
    <w:p w:rsidR="003C3386" w:rsidRDefault="003C3386" w:rsidP="003C3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59E"/>
    <w:multiLevelType w:val="hybridMultilevel"/>
    <w:tmpl w:val="7B088868"/>
    <w:lvl w:ilvl="0" w:tplc="7EEA4892">
      <w:start w:val="1"/>
      <w:numFmt w:val="bullet"/>
      <w:lvlText w:val="-"/>
      <w:lvlJc w:val="left"/>
      <w:pPr>
        <w:ind w:left="652" w:hanging="360"/>
      </w:pPr>
      <w:rPr>
        <w:rFonts w:ascii="Arial" w:eastAsia="Arial" w:hAnsi="Arial" w:cs="Aria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
    <w:nsid w:val="279B2F39"/>
    <w:multiLevelType w:val="hybridMultilevel"/>
    <w:tmpl w:val="C666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C0764B"/>
    <w:multiLevelType w:val="hybridMultilevel"/>
    <w:tmpl w:val="CE0ADAA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86"/>
    <w:rsid w:val="003C3386"/>
    <w:rsid w:val="00571C64"/>
    <w:rsid w:val="00667B0F"/>
    <w:rsid w:val="00726448"/>
    <w:rsid w:val="00CA6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3386"/>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3C3386"/>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C3386"/>
    <w:rPr>
      <w:rFonts w:ascii="Arial" w:eastAsia="Arial" w:hAnsi="Arial" w:cs="Arial"/>
      <w:b/>
      <w:bCs/>
      <w:sz w:val="24"/>
      <w:szCs w:val="24"/>
      <w:lang w:val="en-US"/>
    </w:rPr>
  </w:style>
  <w:style w:type="paragraph" w:styleId="BodyText">
    <w:name w:val="Body Text"/>
    <w:basedOn w:val="Normal"/>
    <w:link w:val="BodyTextChar"/>
    <w:uiPriority w:val="1"/>
    <w:qFormat/>
    <w:rsid w:val="003C3386"/>
    <w:rPr>
      <w:sz w:val="24"/>
      <w:szCs w:val="24"/>
    </w:rPr>
  </w:style>
  <w:style w:type="character" w:customStyle="1" w:styleId="BodyTextChar">
    <w:name w:val="Body Text Char"/>
    <w:basedOn w:val="DefaultParagraphFont"/>
    <w:link w:val="BodyText"/>
    <w:uiPriority w:val="1"/>
    <w:rsid w:val="003C3386"/>
    <w:rPr>
      <w:rFonts w:ascii="Arial" w:eastAsia="Arial" w:hAnsi="Arial" w:cs="Arial"/>
      <w:sz w:val="24"/>
      <w:szCs w:val="24"/>
      <w:lang w:val="en-US"/>
    </w:rPr>
  </w:style>
  <w:style w:type="table" w:styleId="TableGrid">
    <w:name w:val="Table Grid"/>
    <w:basedOn w:val="TableNormal"/>
    <w:uiPriority w:val="59"/>
    <w:rsid w:val="003C33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386"/>
    <w:pPr>
      <w:tabs>
        <w:tab w:val="center" w:pos="4513"/>
        <w:tab w:val="right" w:pos="9026"/>
      </w:tabs>
    </w:pPr>
  </w:style>
  <w:style w:type="character" w:customStyle="1" w:styleId="HeaderChar">
    <w:name w:val="Header Char"/>
    <w:basedOn w:val="DefaultParagraphFont"/>
    <w:link w:val="Header"/>
    <w:uiPriority w:val="99"/>
    <w:rsid w:val="003C3386"/>
    <w:rPr>
      <w:rFonts w:ascii="Arial" w:eastAsia="Arial" w:hAnsi="Arial" w:cs="Arial"/>
      <w:lang w:val="en-US"/>
    </w:rPr>
  </w:style>
  <w:style w:type="paragraph" w:styleId="Footer">
    <w:name w:val="footer"/>
    <w:basedOn w:val="Normal"/>
    <w:link w:val="FooterChar"/>
    <w:uiPriority w:val="99"/>
    <w:unhideWhenUsed/>
    <w:rsid w:val="003C3386"/>
    <w:pPr>
      <w:tabs>
        <w:tab w:val="center" w:pos="4513"/>
        <w:tab w:val="right" w:pos="9026"/>
      </w:tabs>
    </w:pPr>
  </w:style>
  <w:style w:type="character" w:customStyle="1" w:styleId="FooterChar">
    <w:name w:val="Footer Char"/>
    <w:basedOn w:val="DefaultParagraphFont"/>
    <w:link w:val="Footer"/>
    <w:uiPriority w:val="99"/>
    <w:rsid w:val="003C3386"/>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3386"/>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3C3386"/>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C3386"/>
    <w:rPr>
      <w:rFonts w:ascii="Arial" w:eastAsia="Arial" w:hAnsi="Arial" w:cs="Arial"/>
      <w:b/>
      <w:bCs/>
      <w:sz w:val="24"/>
      <w:szCs w:val="24"/>
      <w:lang w:val="en-US"/>
    </w:rPr>
  </w:style>
  <w:style w:type="paragraph" w:styleId="BodyText">
    <w:name w:val="Body Text"/>
    <w:basedOn w:val="Normal"/>
    <w:link w:val="BodyTextChar"/>
    <w:uiPriority w:val="1"/>
    <w:qFormat/>
    <w:rsid w:val="003C3386"/>
    <w:rPr>
      <w:sz w:val="24"/>
      <w:szCs w:val="24"/>
    </w:rPr>
  </w:style>
  <w:style w:type="character" w:customStyle="1" w:styleId="BodyTextChar">
    <w:name w:val="Body Text Char"/>
    <w:basedOn w:val="DefaultParagraphFont"/>
    <w:link w:val="BodyText"/>
    <w:uiPriority w:val="1"/>
    <w:rsid w:val="003C3386"/>
    <w:rPr>
      <w:rFonts w:ascii="Arial" w:eastAsia="Arial" w:hAnsi="Arial" w:cs="Arial"/>
      <w:sz w:val="24"/>
      <w:szCs w:val="24"/>
      <w:lang w:val="en-US"/>
    </w:rPr>
  </w:style>
  <w:style w:type="table" w:styleId="TableGrid">
    <w:name w:val="Table Grid"/>
    <w:basedOn w:val="TableNormal"/>
    <w:uiPriority w:val="59"/>
    <w:rsid w:val="003C33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386"/>
    <w:pPr>
      <w:tabs>
        <w:tab w:val="center" w:pos="4513"/>
        <w:tab w:val="right" w:pos="9026"/>
      </w:tabs>
    </w:pPr>
  </w:style>
  <w:style w:type="character" w:customStyle="1" w:styleId="HeaderChar">
    <w:name w:val="Header Char"/>
    <w:basedOn w:val="DefaultParagraphFont"/>
    <w:link w:val="Header"/>
    <w:uiPriority w:val="99"/>
    <w:rsid w:val="003C3386"/>
    <w:rPr>
      <w:rFonts w:ascii="Arial" w:eastAsia="Arial" w:hAnsi="Arial" w:cs="Arial"/>
      <w:lang w:val="en-US"/>
    </w:rPr>
  </w:style>
  <w:style w:type="paragraph" w:styleId="Footer">
    <w:name w:val="footer"/>
    <w:basedOn w:val="Normal"/>
    <w:link w:val="FooterChar"/>
    <w:uiPriority w:val="99"/>
    <w:unhideWhenUsed/>
    <w:rsid w:val="003C3386"/>
    <w:pPr>
      <w:tabs>
        <w:tab w:val="center" w:pos="4513"/>
        <w:tab w:val="right" w:pos="9026"/>
      </w:tabs>
    </w:pPr>
  </w:style>
  <w:style w:type="character" w:customStyle="1" w:styleId="FooterChar">
    <w:name w:val="Footer Char"/>
    <w:basedOn w:val="DefaultParagraphFont"/>
    <w:link w:val="Footer"/>
    <w:uiPriority w:val="99"/>
    <w:rsid w:val="003C338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E59F43B5</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showick</dc:creator>
  <cp:lastModifiedBy>JMitchell</cp:lastModifiedBy>
  <cp:revision>2</cp:revision>
  <dcterms:created xsi:type="dcterms:W3CDTF">2017-10-27T14:51:00Z</dcterms:created>
  <dcterms:modified xsi:type="dcterms:W3CDTF">2017-10-27T14:51:00Z</dcterms:modified>
</cp:coreProperties>
</file>